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A5" w:rsidRDefault="00121EE5" w:rsidP="00477DA5">
      <w:pPr>
        <w:spacing w:after="0" w:line="240" w:lineRule="auto"/>
        <w:rPr>
          <w:rFonts w:ascii="Tahoma" w:hAnsi="Tahoma" w:cs="Tahoma"/>
          <w:b/>
          <w:sz w:val="32"/>
          <w:szCs w:val="32"/>
        </w:rPr>
      </w:pPr>
      <w:r>
        <w:rPr>
          <w:rFonts w:ascii="Tahoma" w:hAnsi="Tahoma" w:cs="Tahom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-241300</wp:posOffset>
                </wp:positionV>
                <wp:extent cx="2590800" cy="889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12AE" w:rsidRDefault="00AE12AE">
                            <w:r>
                              <w:rPr>
                                <w:noProof/>
                              </w:rPr>
                              <w:drawing>
                                <wp:inline distT="0" distB="0" distL="0" distR="0" wp14:anchorId="31D84069" wp14:editId="502BD070">
                                  <wp:extent cx="2468390" cy="78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PLogo_Solid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6225" cy="78670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0pt;margin-top:-19pt;width:204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" stroked="f">
                <v:textbox>
                  <w:txbxContent>
                    <w:p w:rsidR="00AE12AE" w:rsidRDefault="00AE12AE">
                      <w:r>
                        <w:rPr>
                          <w:noProof/>
                        </w:rPr>
                        <w:drawing>
                          <wp:inline distT="0" distB="0" distL="0" distR="0" wp14:anchorId="31D84069" wp14:editId="502BD070">
                            <wp:extent cx="2468390" cy="78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PLogo_Solid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6225" cy="786709"/>
                                    </a:xfrm>
                                    <a:prstGeom prst="rect">
                                      <a:avLst/>
                                    </a:prstGeom>
                                  </pic:spPr>
                                </pic:pic>
                              </a:graphicData>
                            </a:graphic>
                          </wp:inline>
                        </w:drawing>
                      </w:r>
                    </w:p>
                  </w:txbxContent>
                </v:textbox>
              </v:shape>
            </w:pict>
          </mc:Fallback>
        </mc:AlternateContent>
      </w:r>
      <w:r>
        <w:rPr>
          <w:rFonts w:ascii="Tahoma" w:hAnsi="Tahoma" w:cs="Tahoma"/>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3617595</wp:posOffset>
                </wp:positionH>
                <wp:positionV relativeFrom="paragraph">
                  <wp:posOffset>-6350</wp:posOffset>
                </wp:positionV>
                <wp:extent cx="264795" cy="414655"/>
                <wp:effectExtent l="0" t="3175" r="381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12AE" w:rsidRDefault="00AE12AE" w:rsidP="00477DA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84.85pt;margin-top:-.5pt;width:20.85pt;height:32.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" stroked="f">
                <v:textbox style="mso-fit-shape-to-text:t">
                  <w:txbxContent>
                    <w:p w:rsidR="00AE12AE" w:rsidRDefault="00AE12AE" w:rsidP="00477DA5"/>
                  </w:txbxContent>
                </v:textbox>
              </v:shape>
            </w:pict>
          </mc:Fallback>
        </mc:AlternateContent>
      </w:r>
      <w:r w:rsidR="00477DA5" w:rsidRPr="001257AE">
        <w:rPr>
          <w:rFonts w:ascii="Tahoma" w:hAnsi="Tahoma" w:cs="Tahoma"/>
          <w:b/>
          <w:sz w:val="32"/>
          <w:szCs w:val="32"/>
        </w:rPr>
        <w:t>BOARD OF THE CORPORATION</w:t>
      </w:r>
    </w:p>
    <w:p w:rsidR="001257AE" w:rsidRPr="001257AE" w:rsidRDefault="001257AE" w:rsidP="00477DA5">
      <w:pPr>
        <w:spacing w:after="0" w:line="240" w:lineRule="auto"/>
        <w:rPr>
          <w:rFonts w:ascii="Tahoma" w:hAnsi="Tahoma" w:cs="Tahoma"/>
          <w:b/>
          <w:sz w:val="32"/>
          <w:szCs w:val="32"/>
        </w:rPr>
      </w:pPr>
    </w:p>
    <w:p w:rsidR="00AE12AE" w:rsidRDefault="00AE12AE" w:rsidP="00477DA5">
      <w:pPr>
        <w:spacing w:after="0" w:line="240" w:lineRule="auto"/>
        <w:rPr>
          <w:rFonts w:ascii="Tahoma" w:hAnsi="Tahoma" w:cs="Tahoma"/>
          <w:b/>
          <w:sz w:val="28"/>
          <w:szCs w:val="28"/>
        </w:rPr>
      </w:pPr>
    </w:p>
    <w:p w:rsidR="00477DA5" w:rsidRPr="001257AE" w:rsidRDefault="00477DA5" w:rsidP="00477DA5">
      <w:pPr>
        <w:spacing w:after="0" w:line="240" w:lineRule="auto"/>
        <w:rPr>
          <w:rFonts w:ascii="Tahoma" w:hAnsi="Tahoma" w:cs="Tahoma"/>
          <w:b/>
          <w:sz w:val="28"/>
          <w:szCs w:val="28"/>
        </w:rPr>
      </w:pPr>
      <w:r w:rsidRPr="001257AE">
        <w:rPr>
          <w:rFonts w:ascii="Tahoma" w:hAnsi="Tahoma" w:cs="Tahoma"/>
          <w:b/>
          <w:sz w:val="28"/>
          <w:szCs w:val="28"/>
        </w:rPr>
        <w:t>Access to Meetings of the Board and</w:t>
      </w:r>
      <w:r w:rsidR="00AE12AE">
        <w:rPr>
          <w:rFonts w:ascii="Tahoma" w:hAnsi="Tahoma" w:cs="Tahoma"/>
          <w:b/>
          <w:sz w:val="28"/>
          <w:szCs w:val="28"/>
        </w:rPr>
        <w:t xml:space="preserve"> </w:t>
      </w:r>
      <w:r w:rsidRPr="001257AE">
        <w:rPr>
          <w:rFonts w:ascii="Tahoma" w:hAnsi="Tahoma" w:cs="Tahoma"/>
          <w:b/>
          <w:sz w:val="28"/>
          <w:szCs w:val="28"/>
        </w:rPr>
        <w:t xml:space="preserve">Publication of Board and Committee Minutes and Meetings Papers </w:t>
      </w:r>
    </w:p>
    <w:p w:rsidR="00477DA5" w:rsidRDefault="00477DA5" w:rsidP="00477DA5">
      <w:pPr>
        <w:spacing w:after="0" w:line="240" w:lineRule="auto"/>
        <w:rPr>
          <w:b/>
          <w:sz w:val="32"/>
          <w:szCs w:val="32"/>
        </w:rPr>
      </w:pPr>
    </w:p>
    <w:p w:rsidR="00477DA5" w:rsidRPr="001257AE" w:rsidRDefault="00477DA5" w:rsidP="00477DA5">
      <w:pPr>
        <w:spacing w:after="0" w:line="240" w:lineRule="auto"/>
        <w:rPr>
          <w:rFonts w:ascii="Tahoma" w:hAnsi="Tahoma" w:cs="Tahoma"/>
        </w:rPr>
      </w:pPr>
      <w:r w:rsidRPr="001257AE">
        <w:rPr>
          <w:rFonts w:ascii="Tahoma" w:hAnsi="Tahoma" w:cs="Tahoma"/>
        </w:rPr>
        <w:t xml:space="preserve">The Board of the Corporation of </w:t>
      </w:r>
      <w:r w:rsidR="00451A63">
        <w:rPr>
          <w:rFonts w:ascii="Tahoma" w:hAnsi="Tahoma" w:cs="Tahoma"/>
        </w:rPr>
        <w:t xml:space="preserve">The </w:t>
      </w:r>
      <w:r w:rsidRPr="001257AE">
        <w:rPr>
          <w:rFonts w:ascii="Tahoma" w:hAnsi="Tahoma" w:cs="Tahoma"/>
        </w:rPr>
        <w:t xml:space="preserve">Bournemouth and Poole College endorses the principles </w:t>
      </w:r>
      <w:r w:rsidR="001257AE" w:rsidRPr="001257AE">
        <w:rPr>
          <w:rFonts w:ascii="Tahoma" w:hAnsi="Tahoma" w:cs="Tahoma"/>
        </w:rPr>
        <w:t xml:space="preserve">identified </w:t>
      </w:r>
      <w:r w:rsidRPr="001257AE">
        <w:rPr>
          <w:rFonts w:ascii="Tahoma" w:hAnsi="Tahoma" w:cs="Tahoma"/>
        </w:rPr>
        <w:t>by the Committee on Standards in Public Life (Nolan Committee) for those holding public office and adherence to these standards forms part of the Code of Conduct for Board Members.</w:t>
      </w:r>
    </w:p>
    <w:p w:rsidR="00477DA5" w:rsidRPr="001257AE" w:rsidRDefault="00477DA5" w:rsidP="00477DA5">
      <w:pPr>
        <w:spacing w:after="0" w:line="240" w:lineRule="auto"/>
        <w:rPr>
          <w:rFonts w:ascii="Tahoma" w:hAnsi="Tahoma" w:cs="Tahoma"/>
        </w:rPr>
      </w:pPr>
    </w:p>
    <w:p w:rsidR="00477DA5" w:rsidRPr="001257AE" w:rsidRDefault="00477DA5" w:rsidP="00477DA5">
      <w:pPr>
        <w:spacing w:after="0" w:line="240" w:lineRule="auto"/>
        <w:rPr>
          <w:rFonts w:ascii="Tahoma" w:hAnsi="Tahoma" w:cs="Tahoma"/>
        </w:rPr>
      </w:pPr>
      <w:r w:rsidRPr="001257AE">
        <w:rPr>
          <w:rFonts w:ascii="Tahoma" w:hAnsi="Tahoma" w:cs="Tahoma"/>
        </w:rPr>
        <w:t xml:space="preserve">In particular the standards on accountability and openness </w:t>
      </w:r>
      <w:r w:rsidR="001257AE" w:rsidRPr="001257AE">
        <w:rPr>
          <w:rFonts w:ascii="Tahoma" w:hAnsi="Tahoma" w:cs="Tahoma"/>
        </w:rPr>
        <w:t>reflect the Board’s approach to</w:t>
      </w:r>
      <w:r w:rsidRPr="001257AE">
        <w:rPr>
          <w:rFonts w:ascii="Tahoma" w:hAnsi="Tahoma" w:cs="Tahoma"/>
        </w:rPr>
        <w:t xml:space="preserve"> access and publication of meeting papers:</w:t>
      </w:r>
    </w:p>
    <w:p w:rsidR="001257AE" w:rsidRPr="001257AE" w:rsidRDefault="001257AE" w:rsidP="001257AE">
      <w:pPr>
        <w:jc w:val="both"/>
        <w:rPr>
          <w:rFonts w:ascii="Tahoma" w:hAnsi="Tahoma" w:cs="Tahoma"/>
        </w:rPr>
      </w:pPr>
      <w:r w:rsidRPr="001257AE">
        <w:rPr>
          <w:rFonts w:ascii="Tahoma" w:hAnsi="Tahoma" w:cs="Tahoma"/>
        </w:rPr>
        <w:br/>
        <w:t xml:space="preserve">The Board of </w:t>
      </w:r>
      <w:r w:rsidR="00451A63">
        <w:rPr>
          <w:rFonts w:ascii="Tahoma" w:hAnsi="Tahoma" w:cs="Tahoma"/>
        </w:rPr>
        <w:t xml:space="preserve">The </w:t>
      </w:r>
      <w:r w:rsidRPr="001257AE">
        <w:rPr>
          <w:rFonts w:ascii="Tahoma" w:hAnsi="Tahoma" w:cs="Tahoma"/>
        </w:rPr>
        <w:t>Bournemouth &amp; Poole College operate</w:t>
      </w:r>
      <w:r w:rsidR="00451A63">
        <w:rPr>
          <w:rFonts w:ascii="Tahoma" w:hAnsi="Tahoma" w:cs="Tahoma"/>
        </w:rPr>
        <w:t>s</w:t>
      </w:r>
      <w:r w:rsidRPr="001257AE">
        <w:rPr>
          <w:rFonts w:ascii="Tahoma" w:hAnsi="Tahoma" w:cs="Tahoma"/>
        </w:rPr>
        <w:t xml:space="preserve"> the Policy Governance</w:t>
      </w:r>
      <w:r w:rsidRPr="001257AE">
        <w:rPr>
          <w:rFonts w:ascii="Tahoma" w:hAnsi="Tahoma" w:cs="Tahoma"/>
          <w:vertAlign w:val="superscript"/>
        </w:rPr>
        <w:t>©</w:t>
      </w:r>
      <w:r w:rsidR="00891C26">
        <w:rPr>
          <w:rFonts w:ascii="Tahoma" w:hAnsi="Tahoma" w:cs="Tahoma"/>
        </w:rPr>
        <w:t xml:space="preserve"> model.</w:t>
      </w:r>
    </w:p>
    <w:p w:rsidR="001257AE" w:rsidRDefault="001257AE" w:rsidP="001257AE">
      <w:pPr>
        <w:pStyle w:val="NormalWeb"/>
        <w:numPr>
          <w:ilvl w:val="0"/>
          <w:numId w:val="2"/>
        </w:numPr>
        <w:spacing w:line="0" w:lineRule="atLeast"/>
        <w:rPr>
          <w:rFonts w:ascii="Tahoma" w:hAnsi="Tahoma" w:cs="Tahoma"/>
          <w:sz w:val="22"/>
          <w:szCs w:val="22"/>
        </w:rPr>
      </w:pPr>
      <w:r w:rsidRPr="001257AE">
        <w:rPr>
          <w:rFonts w:ascii="Tahoma" w:hAnsi="Tahoma" w:cs="Tahoma"/>
          <w:b/>
          <w:bCs/>
          <w:sz w:val="22"/>
          <w:szCs w:val="22"/>
        </w:rPr>
        <w:t xml:space="preserve">Accountability:  </w:t>
      </w:r>
      <w:r w:rsidR="00891C26">
        <w:rPr>
          <w:rFonts w:ascii="Tahoma" w:hAnsi="Tahoma" w:cs="Tahoma"/>
          <w:bCs/>
          <w:sz w:val="22"/>
          <w:szCs w:val="22"/>
        </w:rPr>
        <w:t>The Board ar</w:t>
      </w:r>
      <w:r w:rsidRPr="001257AE">
        <w:rPr>
          <w:rFonts w:ascii="Tahoma" w:hAnsi="Tahoma" w:cs="Tahoma"/>
          <w:sz w:val="22"/>
          <w:szCs w:val="22"/>
        </w:rPr>
        <w:t xml:space="preserve">e accountable for their decisions and actions to the public and must submit themselves to whatever scrutiny is appropriate to their office. </w:t>
      </w:r>
    </w:p>
    <w:p w:rsidR="00477DA5" w:rsidRPr="001257AE" w:rsidRDefault="001257AE" w:rsidP="001257AE">
      <w:pPr>
        <w:pStyle w:val="NormalWeb"/>
        <w:numPr>
          <w:ilvl w:val="0"/>
          <w:numId w:val="2"/>
        </w:numPr>
        <w:spacing w:line="0" w:lineRule="atLeast"/>
        <w:rPr>
          <w:rFonts w:ascii="Tahoma" w:hAnsi="Tahoma" w:cs="Tahoma"/>
          <w:sz w:val="22"/>
          <w:szCs w:val="22"/>
        </w:rPr>
      </w:pPr>
      <w:r w:rsidRPr="001257AE">
        <w:rPr>
          <w:rFonts w:ascii="Tahoma" w:hAnsi="Tahoma" w:cs="Tahoma"/>
          <w:b/>
          <w:bCs/>
          <w:sz w:val="22"/>
          <w:szCs w:val="22"/>
        </w:rPr>
        <w:t>Openness:</w:t>
      </w:r>
      <w:r w:rsidR="00891C26">
        <w:rPr>
          <w:rFonts w:ascii="Tahoma" w:hAnsi="Tahoma" w:cs="Tahoma"/>
          <w:sz w:val="22"/>
          <w:szCs w:val="22"/>
        </w:rPr>
        <w:t xml:space="preserve">  The Board s</w:t>
      </w:r>
      <w:r w:rsidRPr="001257AE">
        <w:rPr>
          <w:rFonts w:ascii="Tahoma" w:hAnsi="Tahoma" w:cs="Tahoma"/>
          <w:sz w:val="22"/>
          <w:szCs w:val="22"/>
        </w:rPr>
        <w:t>hould be as open as possible about all the decisions and actions that they take. They should give reasons for their decisions and restrict information only when the wider p</w:t>
      </w:r>
      <w:r>
        <w:rPr>
          <w:rFonts w:ascii="Tahoma" w:hAnsi="Tahoma" w:cs="Tahoma"/>
          <w:sz w:val="22"/>
          <w:szCs w:val="22"/>
        </w:rPr>
        <w:t>ublic interest clearly demands.</w:t>
      </w:r>
    </w:p>
    <w:p w:rsidR="00477DA5" w:rsidRDefault="00477DA5" w:rsidP="001257AE">
      <w:pPr>
        <w:pStyle w:val="ListParagraph"/>
        <w:numPr>
          <w:ilvl w:val="0"/>
          <w:numId w:val="1"/>
        </w:numPr>
        <w:spacing w:after="0" w:line="240" w:lineRule="auto"/>
        <w:ind w:left="360"/>
        <w:rPr>
          <w:rFonts w:ascii="Tahoma" w:hAnsi="Tahoma" w:cs="Tahoma"/>
          <w:b/>
        </w:rPr>
      </w:pPr>
      <w:r w:rsidRPr="007000EB">
        <w:rPr>
          <w:rFonts w:ascii="Tahoma" w:hAnsi="Tahoma" w:cs="Tahoma"/>
          <w:b/>
        </w:rPr>
        <w:t>Access to Meetings</w:t>
      </w:r>
    </w:p>
    <w:p w:rsidR="007000EB" w:rsidRPr="007000EB" w:rsidRDefault="007000EB" w:rsidP="007000EB">
      <w:pPr>
        <w:spacing w:after="0" w:line="240" w:lineRule="auto"/>
        <w:rPr>
          <w:rFonts w:ascii="Tahoma" w:hAnsi="Tahoma" w:cs="Tahoma"/>
          <w:b/>
        </w:rPr>
      </w:pPr>
    </w:p>
    <w:p w:rsidR="001257AE" w:rsidRDefault="001257AE" w:rsidP="001257AE">
      <w:pPr>
        <w:pStyle w:val="ListParagraph"/>
        <w:numPr>
          <w:ilvl w:val="1"/>
          <w:numId w:val="1"/>
        </w:numPr>
        <w:spacing w:after="0" w:line="240" w:lineRule="auto"/>
        <w:rPr>
          <w:rFonts w:ascii="Tahoma" w:hAnsi="Tahoma" w:cs="Tahoma"/>
        </w:rPr>
      </w:pPr>
      <w:r w:rsidRPr="001257AE">
        <w:rPr>
          <w:rFonts w:ascii="Tahoma" w:hAnsi="Tahoma" w:cs="Tahoma"/>
        </w:rPr>
        <w:t>Agendas for all</w:t>
      </w:r>
      <w:r w:rsidR="00891C26">
        <w:rPr>
          <w:rFonts w:ascii="Tahoma" w:hAnsi="Tahoma" w:cs="Tahoma"/>
        </w:rPr>
        <w:t xml:space="preserve"> meetings will be formulated </w:t>
      </w:r>
      <w:r>
        <w:rPr>
          <w:rFonts w:ascii="Tahoma" w:hAnsi="Tahoma" w:cs="Tahoma"/>
        </w:rPr>
        <w:t xml:space="preserve">in accordance with the Board’s annual calendar.  </w:t>
      </w:r>
    </w:p>
    <w:p w:rsidR="00891C26" w:rsidRDefault="00891C26" w:rsidP="001257AE">
      <w:pPr>
        <w:pStyle w:val="ListParagraph"/>
        <w:numPr>
          <w:ilvl w:val="1"/>
          <w:numId w:val="1"/>
        </w:numPr>
        <w:spacing w:after="0" w:line="240" w:lineRule="auto"/>
        <w:rPr>
          <w:rFonts w:ascii="Tahoma" w:hAnsi="Tahoma" w:cs="Tahoma"/>
        </w:rPr>
      </w:pPr>
      <w:r>
        <w:rPr>
          <w:rFonts w:ascii="Tahoma" w:hAnsi="Tahoma" w:cs="Tahoma"/>
        </w:rPr>
        <w:t>Items classified as confidential are determined prior to the agenda being published and are agreed by the Chair, the Clerk and the report author.</w:t>
      </w:r>
    </w:p>
    <w:p w:rsidR="001257AE" w:rsidRPr="00B6361E" w:rsidRDefault="001257AE" w:rsidP="00B6361E">
      <w:pPr>
        <w:pStyle w:val="ListParagraph"/>
        <w:numPr>
          <w:ilvl w:val="0"/>
          <w:numId w:val="5"/>
        </w:numPr>
        <w:spacing w:after="0" w:line="240" w:lineRule="auto"/>
        <w:rPr>
          <w:rFonts w:ascii="Tahoma" w:hAnsi="Tahoma" w:cs="Tahoma"/>
        </w:rPr>
      </w:pPr>
      <w:r w:rsidRPr="00B6361E">
        <w:rPr>
          <w:rFonts w:ascii="Tahoma" w:hAnsi="Tahoma" w:cs="Tahoma"/>
        </w:rPr>
        <w:t xml:space="preserve">The Agenda and corresponding report(s) will indicate this status and the Clerk to the Corporation will request when circulating the papers to the Board and members of staff attending the </w:t>
      </w:r>
      <w:r w:rsidR="00B6361E" w:rsidRPr="00B6361E">
        <w:rPr>
          <w:rFonts w:ascii="Tahoma" w:hAnsi="Tahoma" w:cs="Tahoma"/>
        </w:rPr>
        <w:t xml:space="preserve">meeting that the relevant item(s) </w:t>
      </w:r>
      <w:r w:rsidRPr="00B6361E">
        <w:rPr>
          <w:rFonts w:ascii="Tahoma" w:hAnsi="Tahoma" w:cs="Tahoma"/>
        </w:rPr>
        <w:t>are kept confidential.</w:t>
      </w:r>
    </w:p>
    <w:p w:rsidR="00B6361E" w:rsidRPr="00B6361E" w:rsidRDefault="00B6361E" w:rsidP="00B6361E">
      <w:pPr>
        <w:pStyle w:val="ListParagraph"/>
        <w:numPr>
          <w:ilvl w:val="0"/>
          <w:numId w:val="5"/>
        </w:numPr>
        <w:spacing w:after="0" w:line="240" w:lineRule="auto"/>
        <w:rPr>
          <w:rFonts w:ascii="Tahoma" w:hAnsi="Tahoma" w:cs="Tahoma"/>
        </w:rPr>
      </w:pPr>
      <w:r w:rsidRPr="00B6361E">
        <w:rPr>
          <w:rFonts w:ascii="Tahoma" w:hAnsi="Tahoma" w:cs="Tahoma"/>
        </w:rPr>
        <w:t xml:space="preserve">Minutes of any meetings relating to the remuneration of Senior </w:t>
      </w:r>
      <w:proofErr w:type="spellStart"/>
      <w:r w:rsidRPr="00B6361E">
        <w:rPr>
          <w:rFonts w:ascii="Tahoma" w:hAnsi="Tahoma" w:cs="Tahoma"/>
        </w:rPr>
        <w:t>Postholders</w:t>
      </w:r>
      <w:proofErr w:type="spellEnd"/>
      <w:r w:rsidRPr="00B6361E">
        <w:rPr>
          <w:rFonts w:ascii="Tahoma" w:hAnsi="Tahoma" w:cs="Tahoma"/>
        </w:rPr>
        <w:t xml:space="preserve"> will be classified confidential at all times.</w:t>
      </w:r>
    </w:p>
    <w:p w:rsidR="00B6361E" w:rsidRPr="00B6361E" w:rsidRDefault="00B6361E" w:rsidP="00B6361E">
      <w:pPr>
        <w:pStyle w:val="ListParagraph"/>
        <w:numPr>
          <w:ilvl w:val="0"/>
          <w:numId w:val="5"/>
        </w:numPr>
        <w:spacing w:after="0" w:line="240" w:lineRule="auto"/>
        <w:rPr>
          <w:rFonts w:ascii="Tahoma" w:hAnsi="Tahoma" w:cs="Tahoma"/>
        </w:rPr>
      </w:pPr>
      <w:r w:rsidRPr="00B6361E">
        <w:rPr>
          <w:rFonts w:ascii="Tahoma" w:hAnsi="Tahoma" w:cs="Tahoma"/>
        </w:rPr>
        <w:t>Items where it may be appropriate for some members to withdr</w:t>
      </w:r>
      <w:r w:rsidR="00AE12AE">
        <w:rPr>
          <w:rFonts w:ascii="Tahoma" w:hAnsi="Tahoma" w:cs="Tahoma"/>
        </w:rPr>
        <w:t xml:space="preserve">aw </w:t>
      </w:r>
      <w:r w:rsidR="00121EE5">
        <w:rPr>
          <w:rFonts w:ascii="Tahoma" w:hAnsi="Tahoma" w:cs="Tahoma"/>
        </w:rPr>
        <w:t>in accordance with Instrument 14</w:t>
      </w:r>
      <w:r w:rsidR="00AE12AE">
        <w:rPr>
          <w:rFonts w:ascii="Tahoma" w:hAnsi="Tahoma" w:cs="Tahoma"/>
        </w:rPr>
        <w:t>, Clause 5</w:t>
      </w:r>
      <w:r w:rsidRPr="00B6361E">
        <w:rPr>
          <w:rFonts w:ascii="Tahoma" w:hAnsi="Tahoma" w:cs="Tahoma"/>
        </w:rPr>
        <w:t xml:space="preserve"> of the Instrument and Articles of Government will also be highlighted on the agenda.</w:t>
      </w:r>
    </w:p>
    <w:p w:rsidR="00B6361E" w:rsidRDefault="00B6361E" w:rsidP="001257AE">
      <w:pPr>
        <w:pStyle w:val="ListParagraph"/>
        <w:numPr>
          <w:ilvl w:val="1"/>
          <w:numId w:val="1"/>
        </w:numPr>
        <w:spacing w:after="0" w:line="240" w:lineRule="auto"/>
        <w:rPr>
          <w:rFonts w:ascii="Tahoma" w:hAnsi="Tahoma" w:cs="Tahoma"/>
        </w:rPr>
      </w:pPr>
      <w:r>
        <w:rPr>
          <w:rFonts w:ascii="Tahoma" w:hAnsi="Tahoma" w:cs="Tahoma"/>
        </w:rPr>
        <w:t>Observers may attend meetings of the Board</w:t>
      </w:r>
      <w:r w:rsidR="00891C26">
        <w:rPr>
          <w:rFonts w:ascii="Tahoma" w:hAnsi="Tahoma" w:cs="Tahoma"/>
        </w:rPr>
        <w:t xml:space="preserve"> and its Committee</w:t>
      </w:r>
      <w:r>
        <w:rPr>
          <w:rFonts w:ascii="Tahoma" w:hAnsi="Tahoma" w:cs="Tahoma"/>
        </w:rPr>
        <w:t xml:space="preserve"> by invitation and </w:t>
      </w:r>
      <w:r w:rsidR="00B36E4C">
        <w:rPr>
          <w:rFonts w:ascii="Tahoma" w:hAnsi="Tahoma" w:cs="Tahoma"/>
        </w:rPr>
        <w:t>with the prio</w:t>
      </w:r>
      <w:r w:rsidR="00891C26">
        <w:rPr>
          <w:rFonts w:ascii="Tahoma" w:hAnsi="Tahoma" w:cs="Tahoma"/>
        </w:rPr>
        <w:t>r</w:t>
      </w:r>
      <w:r w:rsidR="00B36E4C">
        <w:rPr>
          <w:rFonts w:ascii="Tahoma" w:hAnsi="Tahoma" w:cs="Tahoma"/>
        </w:rPr>
        <w:t xml:space="preserve"> approval </w:t>
      </w:r>
      <w:r w:rsidR="00891C26">
        <w:rPr>
          <w:rFonts w:ascii="Tahoma" w:hAnsi="Tahoma" w:cs="Tahoma"/>
        </w:rPr>
        <w:t>of the Chair after consideration of the Board or Committee’s business.</w:t>
      </w:r>
    </w:p>
    <w:p w:rsidR="00B6361E" w:rsidRPr="00B6361E" w:rsidRDefault="00B6361E" w:rsidP="00B6361E">
      <w:pPr>
        <w:pStyle w:val="ListParagraph"/>
        <w:numPr>
          <w:ilvl w:val="1"/>
          <w:numId w:val="1"/>
        </w:numPr>
        <w:spacing w:after="0" w:line="240" w:lineRule="auto"/>
        <w:rPr>
          <w:rFonts w:ascii="Tahoma" w:hAnsi="Tahoma" w:cs="Tahoma"/>
        </w:rPr>
      </w:pPr>
      <w:r w:rsidRPr="00B6361E">
        <w:rPr>
          <w:rFonts w:ascii="Tahoma" w:hAnsi="Tahoma" w:cs="Tahoma"/>
        </w:rPr>
        <w:t>Members of the College Executive will normally be in attendance at Board Meetings and Committee meetings as determined by the Principal, the Chair and the Clerk.</w:t>
      </w:r>
      <w:r>
        <w:rPr>
          <w:rFonts w:ascii="Tahoma" w:hAnsi="Tahoma" w:cs="Tahoma"/>
        </w:rPr>
        <w:t xml:space="preserve">  </w:t>
      </w:r>
    </w:p>
    <w:p w:rsidR="00B6361E" w:rsidRDefault="00B6361E" w:rsidP="001257AE">
      <w:pPr>
        <w:pStyle w:val="ListParagraph"/>
        <w:numPr>
          <w:ilvl w:val="1"/>
          <w:numId w:val="1"/>
        </w:numPr>
        <w:spacing w:after="0" w:line="240" w:lineRule="auto"/>
        <w:rPr>
          <w:rFonts w:ascii="Tahoma" w:hAnsi="Tahoma" w:cs="Tahoma"/>
        </w:rPr>
      </w:pPr>
      <w:r>
        <w:rPr>
          <w:rFonts w:ascii="Tahoma" w:hAnsi="Tahoma" w:cs="Tahoma"/>
        </w:rPr>
        <w:t>The Board may invite others to attend meetings to act in an advisory capacity or to make a presentation.</w:t>
      </w:r>
    </w:p>
    <w:p w:rsidR="00891C26" w:rsidRDefault="00891C26" w:rsidP="001257AE">
      <w:pPr>
        <w:pStyle w:val="ListParagraph"/>
        <w:numPr>
          <w:ilvl w:val="1"/>
          <w:numId w:val="1"/>
        </w:numPr>
        <w:spacing w:after="0" w:line="240" w:lineRule="auto"/>
        <w:rPr>
          <w:rFonts w:ascii="Tahoma" w:hAnsi="Tahoma" w:cs="Tahoma"/>
        </w:rPr>
      </w:pPr>
      <w:r>
        <w:rPr>
          <w:rFonts w:ascii="Tahoma" w:hAnsi="Tahoma" w:cs="Tahoma"/>
        </w:rPr>
        <w:t>Those in attendance may be invited by the Chair to participate in discussion but are not entitled to vote.</w:t>
      </w:r>
    </w:p>
    <w:p w:rsidR="00891C26" w:rsidRDefault="00891C26" w:rsidP="00891C26">
      <w:pPr>
        <w:pStyle w:val="ListParagraph"/>
        <w:spacing w:after="0" w:line="240" w:lineRule="auto"/>
        <w:ind w:left="1080"/>
        <w:rPr>
          <w:rFonts w:ascii="Tahoma" w:hAnsi="Tahoma" w:cs="Tahoma"/>
        </w:rPr>
      </w:pPr>
    </w:p>
    <w:p w:rsidR="007000EB" w:rsidRDefault="007000EB" w:rsidP="007000EB">
      <w:pPr>
        <w:pStyle w:val="ListParagraph"/>
        <w:spacing w:after="0" w:line="240" w:lineRule="auto"/>
        <w:ind w:left="1080"/>
        <w:rPr>
          <w:rFonts w:ascii="Tahoma" w:hAnsi="Tahoma" w:cs="Tahoma"/>
        </w:rPr>
      </w:pPr>
    </w:p>
    <w:p w:rsidR="00477DA5" w:rsidRDefault="00477DA5" w:rsidP="001257AE">
      <w:pPr>
        <w:pStyle w:val="ListParagraph"/>
        <w:numPr>
          <w:ilvl w:val="0"/>
          <w:numId w:val="1"/>
        </w:numPr>
        <w:spacing w:after="0" w:line="240" w:lineRule="auto"/>
        <w:ind w:left="360"/>
        <w:rPr>
          <w:rFonts w:ascii="Tahoma" w:hAnsi="Tahoma" w:cs="Tahoma"/>
          <w:b/>
        </w:rPr>
      </w:pPr>
      <w:r w:rsidRPr="007000EB">
        <w:rPr>
          <w:rFonts w:ascii="Tahoma" w:hAnsi="Tahoma" w:cs="Tahoma"/>
          <w:b/>
        </w:rPr>
        <w:lastRenderedPageBreak/>
        <w:t>Criteria for Classification of Items as Confidential</w:t>
      </w:r>
    </w:p>
    <w:p w:rsidR="007000EB" w:rsidRPr="007000EB" w:rsidRDefault="007000EB" w:rsidP="007000EB">
      <w:pPr>
        <w:pStyle w:val="ListParagraph"/>
        <w:spacing w:after="0" w:line="240" w:lineRule="auto"/>
        <w:ind w:left="360"/>
        <w:rPr>
          <w:rFonts w:ascii="Tahoma" w:hAnsi="Tahoma" w:cs="Tahoma"/>
          <w:b/>
        </w:rPr>
      </w:pPr>
    </w:p>
    <w:p w:rsidR="00B36E4C" w:rsidRDefault="00B36E4C" w:rsidP="00B36E4C">
      <w:pPr>
        <w:pStyle w:val="ListParagraph"/>
        <w:numPr>
          <w:ilvl w:val="1"/>
          <w:numId w:val="1"/>
        </w:numPr>
        <w:spacing w:after="0" w:line="240" w:lineRule="auto"/>
        <w:rPr>
          <w:rFonts w:ascii="Tahoma" w:hAnsi="Tahoma" w:cs="Tahoma"/>
        </w:rPr>
      </w:pPr>
      <w:r>
        <w:rPr>
          <w:rFonts w:ascii="Tahoma" w:hAnsi="Tahoma" w:cs="Tahoma"/>
        </w:rPr>
        <w:t>The following criteria are applied in considering whether material should be dealt with on a confidential basis</w:t>
      </w:r>
      <w:r w:rsidR="00042499">
        <w:rPr>
          <w:rFonts w:ascii="Tahoma" w:hAnsi="Tahoma" w:cs="Tahoma"/>
        </w:rPr>
        <w:t xml:space="preserve"> (Part B)</w:t>
      </w:r>
      <w:r>
        <w:rPr>
          <w:rFonts w:ascii="Tahoma" w:hAnsi="Tahoma" w:cs="Tahoma"/>
        </w:rPr>
        <w:t>.  All items will be deemed confidential prior to the publication of the agenda and meeting papers.</w:t>
      </w:r>
    </w:p>
    <w:p w:rsidR="00B36E4C" w:rsidRDefault="00B36E4C" w:rsidP="00B36E4C">
      <w:pPr>
        <w:pStyle w:val="ListParagraph"/>
        <w:spacing w:after="0" w:line="240" w:lineRule="auto"/>
        <w:ind w:left="1080"/>
        <w:rPr>
          <w:rFonts w:ascii="Tahoma" w:hAnsi="Tahoma" w:cs="Tahoma"/>
        </w:rPr>
      </w:pPr>
    </w:p>
    <w:p w:rsidR="00B36E4C" w:rsidRPr="007000EB" w:rsidRDefault="00B36E4C" w:rsidP="007000EB">
      <w:pPr>
        <w:pStyle w:val="ListParagraph"/>
        <w:numPr>
          <w:ilvl w:val="1"/>
          <w:numId w:val="18"/>
        </w:numPr>
        <w:spacing w:after="0" w:line="240" w:lineRule="auto"/>
        <w:ind w:left="1800"/>
        <w:rPr>
          <w:rFonts w:ascii="Tahoma" w:hAnsi="Tahoma" w:cs="Tahoma"/>
        </w:rPr>
      </w:pPr>
      <w:r w:rsidRPr="007000EB">
        <w:rPr>
          <w:rFonts w:ascii="Tahoma" w:hAnsi="Tahoma" w:cs="Tahoma"/>
        </w:rPr>
        <w:t>Material relating to a named member of staff or student in accordance with Data Protection Principles.</w:t>
      </w:r>
    </w:p>
    <w:p w:rsidR="00B36E4C" w:rsidRPr="007000EB" w:rsidRDefault="00B36E4C" w:rsidP="007000EB">
      <w:pPr>
        <w:pStyle w:val="ListParagraph"/>
        <w:numPr>
          <w:ilvl w:val="1"/>
          <w:numId w:val="18"/>
        </w:numPr>
        <w:spacing w:after="0" w:line="240" w:lineRule="auto"/>
        <w:ind w:left="1800"/>
        <w:rPr>
          <w:rFonts w:ascii="Tahoma" w:hAnsi="Tahoma" w:cs="Tahoma"/>
        </w:rPr>
      </w:pPr>
      <w:r w:rsidRPr="007000EB">
        <w:rPr>
          <w:rFonts w:ascii="Tahoma" w:hAnsi="Tahoma" w:cs="Tahoma"/>
        </w:rPr>
        <w:t>Information relating to an identifiable group of staff or students</w:t>
      </w:r>
    </w:p>
    <w:p w:rsidR="00B36E4C" w:rsidRPr="007000EB" w:rsidRDefault="00B36E4C" w:rsidP="007000EB">
      <w:pPr>
        <w:pStyle w:val="ListParagraph"/>
        <w:numPr>
          <w:ilvl w:val="1"/>
          <w:numId w:val="18"/>
        </w:numPr>
        <w:spacing w:after="0" w:line="240" w:lineRule="auto"/>
        <w:ind w:left="1800"/>
        <w:rPr>
          <w:rFonts w:ascii="Tahoma" w:hAnsi="Tahoma" w:cs="Tahoma"/>
        </w:rPr>
      </w:pPr>
      <w:r w:rsidRPr="007000EB">
        <w:rPr>
          <w:rFonts w:ascii="Tahoma" w:hAnsi="Tahoma" w:cs="Tahoma"/>
        </w:rPr>
        <w:t>Information relating to contract negotiations</w:t>
      </w:r>
    </w:p>
    <w:p w:rsidR="00B36E4C" w:rsidRPr="007000EB" w:rsidRDefault="00B36E4C" w:rsidP="007000EB">
      <w:pPr>
        <w:pStyle w:val="ListParagraph"/>
        <w:numPr>
          <w:ilvl w:val="1"/>
          <w:numId w:val="18"/>
        </w:numPr>
        <w:spacing w:after="0" w:line="240" w:lineRule="auto"/>
        <w:ind w:left="1800"/>
        <w:rPr>
          <w:rFonts w:ascii="Tahoma" w:hAnsi="Tahoma" w:cs="Tahoma"/>
        </w:rPr>
      </w:pPr>
      <w:r w:rsidRPr="007000EB">
        <w:rPr>
          <w:rFonts w:ascii="Tahoma" w:hAnsi="Tahoma" w:cs="Tahoma"/>
        </w:rPr>
        <w:t>Commercially sensitive information</w:t>
      </w:r>
    </w:p>
    <w:p w:rsidR="00B36E4C" w:rsidRPr="007000EB" w:rsidRDefault="00B36E4C" w:rsidP="007000EB">
      <w:pPr>
        <w:pStyle w:val="ListParagraph"/>
        <w:numPr>
          <w:ilvl w:val="1"/>
          <w:numId w:val="18"/>
        </w:numPr>
        <w:spacing w:after="0" w:line="240" w:lineRule="auto"/>
        <w:ind w:left="1800"/>
        <w:rPr>
          <w:rFonts w:ascii="Tahoma" w:hAnsi="Tahoma" w:cs="Tahoma"/>
        </w:rPr>
      </w:pPr>
      <w:r w:rsidRPr="007000EB">
        <w:rPr>
          <w:rFonts w:ascii="Tahoma" w:hAnsi="Tahoma" w:cs="Tahoma"/>
        </w:rPr>
        <w:t>Information which may have long term legal implications or contain legal advice which, if revealed may prejudice The College’s position</w:t>
      </w:r>
    </w:p>
    <w:p w:rsidR="00B36E4C" w:rsidRPr="007000EB" w:rsidRDefault="00B36E4C" w:rsidP="007000EB">
      <w:pPr>
        <w:pStyle w:val="ListParagraph"/>
        <w:numPr>
          <w:ilvl w:val="1"/>
          <w:numId w:val="18"/>
        </w:numPr>
        <w:spacing w:after="0" w:line="240" w:lineRule="auto"/>
        <w:ind w:left="1800"/>
        <w:rPr>
          <w:rFonts w:ascii="Tahoma" w:hAnsi="Tahoma" w:cs="Tahoma"/>
        </w:rPr>
      </w:pPr>
      <w:r w:rsidRPr="007000EB">
        <w:rPr>
          <w:rFonts w:ascii="Tahoma" w:hAnsi="Tahoma" w:cs="Tahoma"/>
        </w:rPr>
        <w:t>Other sensitive information, which, if widely available, would detrimentally affect the standing of The College.</w:t>
      </w:r>
    </w:p>
    <w:p w:rsidR="00B36E4C" w:rsidRPr="007000EB" w:rsidRDefault="00B36E4C" w:rsidP="007000EB">
      <w:pPr>
        <w:pStyle w:val="ListParagraph"/>
        <w:numPr>
          <w:ilvl w:val="1"/>
          <w:numId w:val="18"/>
        </w:numPr>
        <w:spacing w:after="0" w:line="240" w:lineRule="auto"/>
        <w:ind w:left="1800"/>
        <w:rPr>
          <w:rFonts w:ascii="Tahoma" w:hAnsi="Tahoma" w:cs="Tahoma"/>
        </w:rPr>
      </w:pPr>
      <w:r w:rsidRPr="007000EB">
        <w:rPr>
          <w:rFonts w:ascii="Tahoma" w:hAnsi="Tahoma" w:cs="Tahoma"/>
        </w:rPr>
        <w:t>Exceptionally, information which by reason of its nature, the Board or its committees is satisfied should be dealt with on a confidential basis.</w:t>
      </w:r>
    </w:p>
    <w:p w:rsidR="00B36E4C" w:rsidRPr="00B36E4C" w:rsidRDefault="00B36E4C" w:rsidP="007000EB">
      <w:pPr>
        <w:pStyle w:val="ListParagraph"/>
        <w:spacing w:after="0" w:line="240" w:lineRule="auto"/>
        <w:ind w:left="1800"/>
        <w:rPr>
          <w:rFonts w:ascii="Tahoma" w:hAnsi="Tahoma" w:cs="Tahoma"/>
        </w:rPr>
      </w:pPr>
    </w:p>
    <w:p w:rsidR="00B36E4C" w:rsidRDefault="00B36E4C" w:rsidP="00B36E4C">
      <w:pPr>
        <w:pStyle w:val="ListParagraph"/>
        <w:numPr>
          <w:ilvl w:val="1"/>
          <w:numId w:val="1"/>
        </w:numPr>
        <w:spacing w:after="0" w:line="240" w:lineRule="auto"/>
        <w:rPr>
          <w:rFonts w:ascii="Tahoma" w:hAnsi="Tahoma" w:cs="Tahoma"/>
        </w:rPr>
      </w:pPr>
      <w:r>
        <w:rPr>
          <w:rFonts w:ascii="Tahoma" w:hAnsi="Tahoma" w:cs="Tahoma"/>
        </w:rPr>
        <w:t>The Board and Committees will agree at the end of each meeting under the agenda item “confidentiality” which items should remain confidential.</w:t>
      </w:r>
    </w:p>
    <w:p w:rsidR="00B36E4C" w:rsidRDefault="00B36E4C" w:rsidP="00B36E4C">
      <w:pPr>
        <w:pStyle w:val="ListParagraph"/>
        <w:spacing w:after="0" w:line="240" w:lineRule="auto"/>
        <w:ind w:left="1080"/>
        <w:rPr>
          <w:rFonts w:ascii="Tahoma" w:hAnsi="Tahoma" w:cs="Tahoma"/>
        </w:rPr>
      </w:pPr>
    </w:p>
    <w:p w:rsidR="00B36E4C" w:rsidRDefault="00B36E4C" w:rsidP="00B36E4C">
      <w:pPr>
        <w:pStyle w:val="ListParagraph"/>
        <w:spacing w:after="0" w:line="240" w:lineRule="auto"/>
        <w:ind w:left="1080"/>
        <w:rPr>
          <w:rFonts w:ascii="Tahoma" w:hAnsi="Tahoma" w:cs="Tahoma"/>
        </w:rPr>
      </w:pPr>
      <w:r>
        <w:rPr>
          <w:rFonts w:ascii="Tahoma" w:hAnsi="Tahoma" w:cs="Tahoma"/>
        </w:rPr>
        <w:t xml:space="preserve">This </w:t>
      </w:r>
      <w:r w:rsidR="00891C26">
        <w:rPr>
          <w:rFonts w:ascii="Tahoma" w:hAnsi="Tahoma" w:cs="Tahoma"/>
        </w:rPr>
        <w:t xml:space="preserve">decision </w:t>
      </w:r>
      <w:r w:rsidR="00831966">
        <w:rPr>
          <w:rFonts w:ascii="Tahoma" w:hAnsi="Tahoma" w:cs="Tahoma"/>
        </w:rPr>
        <w:t xml:space="preserve">will be reflected in the minutes </w:t>
      </w:r>
      <w:r>
        <w:rPr>
          <w:rFonts w:ascii="Tahoma" w:hAnsi="Tahoma" w:cs="Tahoma"/>
        </w:rPr>
        <w:t xml:space="preserve">and any confidential </w:t>
      </w:r>
      <w:r w:rsidR="00891C26">
        <w:rPr>
          <w:rFonts w:ascii="Tahoma" w:hAnsi="Tahoma" w:cs="Tahoma"/>
        </w:rPr>
        <w:t xml:space="preserve">items </w:t>
      </w:r>
      <w:r>
        <w:rPr>
          <w:rFonts w:ascii="Tahoma" w:hAnsi="Tahoma" w:cs="Tahoma"/>
        </w:rPr>
        <w:t>will be identified within the published minutes.</w:t>
      </w:r>
    </w:p>
    <w:p w:rsidR="007000EB" w:rsidRDefault="007000EB" w:rsidP="00B36E4C">
      <w:pPr>
        <w:pStyle w:val="ListParagraph"/>
        <w:spacing w:after="0" w:line="240" w:lineRule="auto"/>
        <w:ind w:left="1080"/>
        <w:rPr>
          <w:rFonts w:ascii="Tahoma" w:hAnsi="Tahoma" w:cs="Tahoma"/>
        </w:rPr>
      </w:pPr>
    </w:p>
    <w:p w:rsidR="007000EB" w:rsidRDefault="007000EB" w:rsidP="00B36E4C">
      <w:pPr>
        <w:pStyle w:val="ListParagraph"/>
        <w:spacing w:after="0" w:line="240" w:lineRule="auto"/>
        <w:ind w:left="1080"/>
        <w:rPr>
          <w:rFonts w:ascii="Tahoma" w:hAnsi="Tahoma" w:cs="Tahoma"/>
        </w:rPr>
      </w:pPr>
      <w:r>
        <w:rPr>
          <w:rFonts w:ascii="Tahoma" w:hAnsi="Tahoma" w:cs="Tahoma"/>
        </w:rPr>
        <w:t>Confidential minutes will be reviewed ann</w:t>
      </w:r>
      <w:r w:rsidR="00121EE5">
        <w:rPr>
          <w:rFonts w:ascii="Tahoma" w:hAnsi="Tahoma" w:cs="Tahoma"/>
        </w:rPr>
        <w:t>ually by the Search</w:t>
      </w:r>
      <w:r>
        <w:rPr>
          <w:rFonts w:ascii="Tahoma" w:hAnsi="Tahoma" w:cs="Tahoma"/>
        </w:rPr>
        <w:t xml:space="preserve"> Committee.  As a general rule confidential papers will come to the public domain after two years unless deemed otherwise.  However there will be papers that remain confidential – either because they relate to individuals or information that the Board have decided for specific reasons should not be made public.</w:t>
      </w:r>
    </w:p>
    <w:p w:rsidR="007000EB" w:rsidRDefault="007000EB" w:rsidP="007000EB">
      <w:pPr>
        <w:spacing w:after="0" w:line="240" w:lineRule="auto"/>
        <w:rPr>
          <w:rFonts w:ascii="Tahoma" w:hAnsi="Tahoma" w:cs="Tahoma"/>
        </w:rPr>
      </w:pPr>
    </w:p>
    <w:p w:rsidR="007000EB" w:rsidRPr="007000EB" w:rsidRDefault="007000EB" w:rsidP="007000EB">
      <w:pPr>
        <w:pStyle w:val="ListParagraph"/>
        <w:numPr>
          <w:ilvl w:val="1"/>
          <w:numId w:val="1"/>
        </w:numPr>
        <w:spacing w:after="0" w:line="240" w:lineRule="auto"/>
        <w:rPr>
          <w:rFonts w:ascii="Tahoma" w:hAnsi="Tahoma" w:cs="Tahoma"/>
        </w:rPr>
      </w:pPr>
      <w:r w:rsidRPr="007000EB">
        <w:rPr>
          <w:rFonts w:ascii="Tahoma" w:hAnsi="Tahoma" w:cs="Tahoma"/>
        </w:rPr>
        <w:t>On request, the Clerk shall give reasons for any item remaining confidential.</w:t>
      </w:r>
    </w:p>
    <w:p w:rsidR="00B36E4C" w:rsidRPr="001257AE" w:rsidRDefault="00B36E4C" w:rsidP="00B36E4C">
      <w:pPr>
        <w:pStyle w:val="ListParagraph"/>
        <w:spacing w:after="0" w:line="240" w:lineRule="auto"/>
        <w:ind w:left="1080"/>
        <w:rPr>
          <w:rFonts w:ascii="Tahoma" w:hAnsi="Tahoma" w:cs="Tahoma"/>
        </w:rPr>
      </w:pPr>
    </w:p>
    <w:p w:rsidR="00477DA5" w:rsidRPr="00592E2F" w:rsidRDefault="00477DA5" w:rsidP="001257AE">
      <w:pPr>
        <w:pStyle w:val="ListParagraph"/>
        <w:numPr>
          <w:ilvl w:val="0"/>
          <w:numId w:val="1"/>
        </w:numPr>
        <w:spacing w:after="0" w:line="240" w:lineRule="auto"/>
        <w:ind w:left="360"/>
        <w:rPr>
          <w:rFonts w:ascii="Tahoma" w:hAnsi="Tahoma" w:cs="Tahoma"/>
          <w:b/>
        </w:rPr>
      </w:pPr>
      <w:r w:rsidRPr="00592E2F">
        <w:rPr>
          <w:rFonts w:ascii="Tahoma" w:hAnsi="Tahoma" w:cs="Tahoma"/>
          <w:b/>
        </w:rPr>
        <w:t>Access to Minutes and Meeting Papers</w:t>
      </w:r>
    </w:p>
    <w:p w:rsidR="007000EB" w:rsidRDefault="007000EB" w:rsidP="00831966">
      <w:pPr>
        <w:spacing w:after="0" w:line="240" w:lineRule="auto"/>
        <w:rPr>
          <w:rFonts w:ascii="Tahoma" w:hAnsi="Tahoma" w:cs="Tahoma"/>
        </w:rPr>
      </w:pPr>
    </w:p>
    <w:p w:rsidR="00831966" w:rsidRPr="00592E2F" w:rsidRDefault="00831966" w:rsidP="00831966">
      <w:pPr>
        <w:pStyle w:val="ListParagraph"/>
        <w:numPr>
          <w:ilvl w:val="1"/>
          <w:numId w:val="1"/>
        </w:numPr>
        <w:spacing w:after="0" w:line="240" w:lineRule="auto"/>
        <w:rPr>
          <w:rFonts w:ascii="Tahoma" w:hAnsi="Tahoma" w:cs="Tahoma"/>
        </w:rPr>
      </w:pPr>
      <w:r w:rsidRPr="00592E2F">
        <w:rPr>
          <w:rFonts w:ascii="Tahoma" w:hAnsi="Tahoma" w:cs="Tahoma"/>
        </w:rPr>
        <w:t>In accordance with the Instrument</w:t>
      </w:r>
      <w:r w:rsidR="00121EE5">
        <w:rPr>
          <w:rFonts w:ascii="Tahoma" w:hAnsi="Tahoma" w:cs="Tahoma"/>
        </w:rPr>
        <w:t xml:space="preserve"> and Articles of Government 201</w:t>
      </w:r>
      <w:r w:rsidR="00776B8C">
        <w:rPr>
          <w:rFonts w:ascii="Tahoma" w:hAnsi="Tahoma" w:cs="Tahoma"/>
        </w:rPr>
        <w:t>8</w:t>
      </w:r>
      <w:r w:rsidR="00121EE5">
        <w:rPr>
          <w:rFonts w:ascii="Tahoma" w:hAnsi="Tahoma" w:cs="Tahoma"/>
        </w:rPr>
        <w:t xml:space="preserve"> (Instrument</w:t>
      </w:r>
      <w:r w:rsidRPr="00592E2F">
        <w:rPr>
          <w:rFonts w:ascii="Tahoma" w:hAnsi="Tahoma" w:cs="Tahoma"/>
        </w:rPr>
        <w:t xml:space="preserve"> 17) </w:t>
      </w:r>
      <w:r w:rsidR="00592E2F">
        <w:rPr>
          <w:rFonts w:ascii="Tahoma" w:hAnsi="Tahoma" w:cs="Tahoma"/>
        </w:rPr>
        <w:t>t</w:t>
      </w:r>
      <w:r w:rsidRPr="00592E2F">
        <w:rPr>
          <w:rFonts w:ascii="Tahoma" w:hAnsi="Tahoma" w:cs="Tahoma"/>
        </w:rPr>
        <w:t>he agenda for each meeting of the Board will be made available for public inspection on request to the Clerk to the Corporation after it has been circulated to Board Members, but before the meeting, if deemed appropriate.  Agenda papers will not be made public until the meeting has taken place.</w:t>
      </w:r>
      <w:r w:rsidR="00592E2F" w:rsidRPr="00592E2F">
        <w:rPr>
          <w:rFonts w:ascii="Tahoma" w:hAnsi="Tahoma" w:cs="Tahoma"/>
        </w:rPr>
        <w:t xml:space="preserve"> </w:t>
      </w:r>
    </w:p>
    <w:p w:rsidR="00592E2F" w:rsidRDefault="00592E2F" w:rsidP="00592E2F">
      <w:pPr>
        <w:pStyle w:val="ListParagraph"/>
        <w:spacing w:after="0" w:line="240" w:lineRule="auto"/>
        <w:ind w:left="1080"/>
        <w:rPr>
          <w:rFonts w:ascii="Tahoma" w:hAnsi="Tahoma" w:cs="Tahoma"/>
        </w:rPr>
      </w:pPr>
    </w:p>
    <w:p w:rsidR="00592E2F" w:rsidRDefault="00592E2F" w:rsidP="00831966">
      <w:pPr>
        <w:pStyle w:val="ListParagraph"/>
        <w:numPr>
          <w:ilvl w:val="1"/>
          <w:numId w:val="1"/>
        </w:numPr>
        <w:spacing w:after="0" w:line="240" w:lineRule="auto"/>
        <w:rPr>
          <w:rFonts w:ascii="Tahoma" w:hAnsi="Tahoma" w:cs="Tahoma"/>
        </w:rPr>
      </w:pPr>
      <w:r>
        <w:rPr>
          <w:rFonts w:ascii="Tahoma" w:hAnsi="Tahoma" w:cs="Tahoma"/>
        </w:rPr>
        <w:t xml:space="preserve">The Minutes of Board Meetings and Committee Meetings will be published on The College Website once they have been approved by the Board or relevant Committee and signed by the Chair.  </w:t>
      </w:r>
    </w:p>
    <w:p w:rsidR="00592E2F" w:rsidRPr="00592E2F" w:rsidRDefault="00592E2F" w:rsidP="00592E2F">
      <w:pPr>
        <w:pStyle w:val="ListParagraph"/>
        <w:rPr>
          <w:rFonts w:ascii="Tahoma" w:hAnsi="Tahoma" w:cs="Tahoma"/>
        </w:rPr>
      </w:pPr>
    </w:p>
    <w:p w:rsidR="00592E2F" w:rsidRDefault="00592E2F" w:rsidP="00831966">
      <w:pPr>
        <w:pStyle w:val="ListParagraph"/>
        <w:numPr>
          <w:ilvl w:val="1"/>
          <w:numId w:val="1"/>
        </w:numPr>
        <w:spacing w:after="0" w:line="240" w:lineRule="auto"/>
        <w:rPr>
          <w:rFonts w:ascii="Tahoma" w:hAnsi="Tahoma" w:cs="Tahoma"/>
        </w:rPr>
      </w:pPr>
      <w:r>
        <w:rPr>
          <w:rFonts w:ascii="Tahoma" w:hAnsi="Tahoma" w:cs="Tahoma"/>
        </w:rPr>
        <w:t>Draft Minutes will be available for approval by the Chair in accordance w</w:t>
      </w:r>
      <w:r w:rsidR="00121EE5">
        <w:rPr>
          <w:rFonts w:ascii="Tahoma" w:hAnsi="Tahoma" w:cs="Tahoma"/>
        </w:rPr>
        <w:t xml:space="preserve">ith Governance Process Policy GP7 – and </w:t>
      </w:r>
      <w:r>
        <w:rPr>
          <w:rFonts w:ascii="Tahoma" w:hAnsi="Tahoma" w:cs="Tahoma"/>
        </w:rPr>
        <w:t>will be available for public inspection on request to the Clerk to the Corporation, after they have been approved by the relevant Chair.</w:t>
      </w:r>
    </w:p>
    <w:p w:rsidR="00592E2F" w:rsidRPr="00592E2F" w:rsidRDefault="00592E2F" w:rsidP="00592E2F">
      <w:pPr>
        <w:pStyle w:val="ListParagraph"/>
        <w:rPr>
          <w:rFonts w:ascii="Tahoma" w:hAnsi="Tahoma" w:cs="Tahoma"/>
        </w:rPr>
      </w:pPr>
    </w:p>
    <w:p w:rsidR="00592E2F" w:rsidRPr="00831966" w:rsidRDefault="00592E2F" w:rsidP="00831966">
      <w:pPr>
        <w:pStyle w:val="ListParagraph"/>
        <w:numPr>
          <w:ilvl w:val="1"/>
          <w:numId w:val="1"/>
        </w:numPr>
        <w:spacing w:after="0" w:line="240" w:lineRule="auto"/>
        <w:rPr>
          <w:rFonts w:ascii="Tahoma" w:hAnsi="Tahoma" w:cs="Tahoma"/>
        </w:rPr>
      </w:pPr>
      <w:r>
        <w:rPr>
          <w:rFonts w:ascii="Tahoma" w:hAnsi="Tahoma" w:cs="Tahoma"/>
        </w:rPr>
        <w:t xml:space="preserve">Information requests to the Clerk to the Corporation will be dealt with in accordance with the provisions of the </w:t>
      </w:r>
      <w:bookmarkStart w:id="0" w:name="_GoBack"/>
      <w:r>
        <w:rPr>
          <w:rFonts w:ascii="Tahoma" w:hAnsi="Tahoma" w:cs="Tahoma"/>
        </w:rPr>
        <w:t>Freedom of information Act 2000.</w:t>
      </w:r>
      <w:bookmarkEnd w:id="0"/>
    </w:p>
    <w:p w:rsidR="00831966" w:rsidRDefault="00831966" w:rsidP="00831966">
      <w:pPr>
        <w:pStyle w:val="ListParagraph"/>
        <w:spacing w:after="0" w:line="240" w:lineRule="auto"/>
        <w:rPr>
          <w:rFonts w:ascii="Tahoma" w:hAnsi="Tahoma" w:cs="Tahoma"/>
        </w:rPr>
      </w:pPr>
    </w:p>
    <w:p w:rsidR="00831966" w:rsidRDefault="00831966" w:rsidP="00831966">
      <w:pPr>
        <w:pStyle w:val="ListParagraph"/>
        <w:spacing w:after="0" w:line="240" w:lineRule="auto"/>
        <w:rPr>
          <w:rFonts w:ascii="Tahoma" w:hAnsi="Tahoma" w:cs="Tahoma"/>
        </w:rPr>
      </w:pPr>
    </w:p>
    <w:p w:rsidR="00477DA5" w:rsidRPr="00592E2F" w:rsidRDefault="00477DA5" w:rsidP="001257AE">
      <w:pPr>
        <w:pStyle w:val="ListParagraph"/>
        <w:numPr>
          <w:ilvl w:val="0"/>
          <w:numId w:val="1"/>
        </w:numPr>
        <w:spacing w:after="0" w:line="240" w:lineRule="auto"/>
        <w:ind w:left="360"/>
        <w:rPr>
          <w:rFonts w:ascii="Tahoma" w:hAnsi="Tahoma" w:cs="Tahoma"/>
          <w:b/>
        </w:rPr>
      </w:pPr>
      <w:r w:rsidRPr="00592E2F">
        <w:rPr>
          <w:rFonts w:ascii="Tahoma" w:hAnsi="Tahoma" w:cs="Tahoma"/>
          <w:b/>
        </w:rPr>
        <w:t>Complaints</w:t>
      </w:r>
    </w:p>
    <w:p w:rsidR="00592E2F" w:rsidRDefault="00592E2F" w:rsidP="00592E2F">
      <w:pPr>
        <w:pStyle w:val="ListParagraph"/>
        <w:spacing w:after="0" w:line="240" w:lineRule="auto"/>
        <w:ind w:left="360"/>
        <w:rPr>
          <w:rFonts w:ascii="Tahoma" w:hAnsi="Tahoma" w:cs="Tahoma"/>
        </w:rPr>
      </w:pPr>
    </w:p>
    <w:p w:rsidR="00592E2F" w:rsidRDefault="00592E2F" w:rsidP="00592E2F">
      <w:pPr>
        <w:pStyle w:val="ListParagraph"/>
        <w:spacing w:after="0" w:line="240" w:lineRule="auto"/>
        <w:ind w:left="360"/>
        <w:rPr>
          <w:rFonts w:ascii="Tahoma" w:hAnsi="Tahoma" w:cs="Tahoma"/>
        </w:rPr>
      </w:pPr>
      <w:r>
        <w:rPr>
          <w:rFonts w:ascii="Tahoma" w:hAnsi="Tahoma" w:cs="Tahoma"/>
        </w:rPr>
        <w:t xml:space="preserve">The College has an established procedure for dealing with complaints.  Any persons with a complaint about the availability of information or the conduct of the Corporation may raise their complaint under this procedure.  Alternatively they may wish to write directly to the </w:t>
      </w:r>
      <w:r w:rsidR="00776B8C">
        <w:rPr>
          <w:rFonts w:ascii="Tahoma" w:hAnsi="Tahoma" w:cs="Tahoma"/>
        </w:rPr>
        <w:t>Director of Governance</w:t>
      </w:r>
      <w:r>
        <w:rPr>
          <w:rFonts w:ascii="Tahoma" w:hAnsi="Tahoma" w:cs="Tahoma"/>
        </w:rPr>
        <w:t>.</w:t>
      </w:r>
    </w:p>
    <w:p w:rsidR="00592E2F" w:rsidRDefault="00592E2F" w:rsidP="00592E2F">
      <w:pPr>
        <w:pStyle w:val="ListParagraph"/>
        <w:spacing w:after="0" w:line="240" w:lineRule="auto"/>
        <w:ind w:left="360"/>
        <w:rPr>
          <w:rFonts w:ascii="Tahoma" w:hAnsi="Tahoma" w:cs="Tahoma"/>
        </w:rPr>
      </w:pPr>
    </w:p>
    <w:p w:rsidR="00592E2F" w:rsidRDefault="00592E2F" w:rsidP="00592E2F">
      <w:pPr>
        <w:pStyle w:val="ListParagraph"/>
        <w:spacing w:after="0" w:line="240" w:lineRule="auto"/>
        <w:ind w:left="360"/>
        <w:rPr>
          <w:rFonts w:ascii="Tahoma" w:hAnsi="Tahoma" w:cs="Tahoma"/>
        </w:rPr>
      </w:pPr>
    </w:p>
    <w:p w:rsidR="00592E2F" w:rsidRDefault="00776B8C" w:rsidP="00592E2F">
      <w:pPr>
        <w:pStyle w:val="ListParagraph"/>
        <w:spacing w:after="0" w:line="240" w:lineRule="auto"/>
        <w:ind w:left="360"/>
        <w:rPr>
          <w:rFonts w:ascii="Tahoma" w:hAnsi="Tahoma" w:cs="Tahoma"/>
        </w:rPr>
      </w:pPr>
      <w:r>
        <w:rPr>
          <w:rFonts w:ascii="Tahoma" w:hAnsi="Tahoma" w:cs="Tahoma"/>
        </w:rPr>
        <w:t xml:space="preserve">Marianne Barnard </w:t>
      </w:r>
    </w:p>
    <w:p w:rsidR="00592E2F" w:rsidRDefault="00776B8C" w:rsidP="00592E2F">
      <w:pPr>
        <w:pStyle w:val="ListParagraph"/>
        <w:spacing w:after="0" w:line="240" w:lineRule="auto"/>
        <w:ind w:left="360"/>
        <w:rPr>
          <w:rFonts w:ascii="Tahoma" w:hAnsi="Tahoma" w:cs="Tahoma"/>
        </w:rPr>
      </w:pPr>
      <w:r>
        <w:rPr>
          <w:rFonts w:ascii="Tahoma" w:hAnsi="Tahoma" w:cs="Tahoma"/>
        </w:rPr>
        <w:t xml:space="preserve">Director of Governance &amp; Clerk to the Corporation </w:t>
      </w:r>
    </w:p>
    <w:p w:rsidR="00592E2F" w:rsidRDefault="00592E2F" w:rsidP="00592E2F">
      <w:pPr>
        <w:pStyle w:val="ListParagraph"/>
        <w:spacing w:after="0" w:line="240" w:lineRule="auto"/>
        <w:ind w:left="360"/>
        <w:rPr>
          <w:rFonts w:ascii="Tahoma" w:hAnsi="Tahoma" w:cs="Tahoma"/>
        </w:rPr>
      </w:pPr>
      <w:r>
        <w:rPr>
          <w:rFonts w:ascii="Tahoma" w:hAnsi="Tahoma" w:cs="Tahoma"/>
        </w:rPr>
        <w:t>Bournemouth &amp; Poole College</w:t>
      </w:r>
    </w:p>
    <w:p w:rsidR="00776B8C" w:rsidRDefault="00776B8C" w:rsidP="00592E2F">
      <w:pPr>
        <w:pStyle w:val="ListParagraph"/>
        <w:spacing w:after="0" w:line="240" w:lineRule="auto"/>
        <w:ind w:left="360"/>
        <w:rPr>
          <w:rFonts w:ascii="Tahoma" w:hAnsi="Tahoma" w:cs="Tahoma"/>
        </w:rPr>
      </w:pPr>
    </w:p>
    <w:p w:rsidR="00592E2F" w:rsidRDefault="00592E2F" w:rsidP="00592E2F">
      <w:pPr>
        <w:pStyle w:val="ListParagraph"/>
        <w:spacing w:after="0" w:line="240" w:lineRule="auto"/>
        <w:ind w:left="360"/>
        <w:rPr>
          <w:rFonts w:ascii="Tahoma" w:hAnsi="Tahoma" w:cs="Tahoma"/>
        </w:rPr>
      </w:pPr>
      <w:r>
        <w:rPr>
          <w:rFonts w:ascii="Tahoma" w:hAnsi="Tahoma" w:cs="Tahoma"/>
        </w:rPr>
        <w:t xml:space="preserve">Email: </w:t>
      </w:r>
      <w:r w:rsidR="00451A63">
        <w:rPr>
          <w:rFonts w:ascii="Tahoma" w:hAnsi="Tahoma" w:cs="Tahoma"/>
        </w:rPr>
        <w:t>clerk@thecollege.co.uk</w:t>
      </w:r>
    </w:p>
    <w:p w:rsidR="00776B8C" w:rsidRDefault="00776B8C" w:rsidP="00592E2F">
      <w:pPr>
        <w:pStyle w:val="ListParagraph"/>
        <w:spacing w:after="0" w:line="240" w:lineRule="auto"/>
        <w:ind w:left="360"/>
        <w:rPr>
          <w:rFonts w:ascii="Tahoma" w:hAnsi="Tahoma" w:cs="Tahoma"/>
        </w:rPr>
      </w:pPr>
    </w:p>
    <w:p w:rsidR="00776B8C" w:rsidRPr="00776B8C" w:rsidRDefault="00776B8C" w:rsidP="00776B8C"/>
    <w:p w:rsidR="00776B8C" w:rsidRPr="00776B8C" w:rsidRDefault="00776B8C" w:rsidP="00776B8C"/>
    <w:p w:rsidR="00776B8C" w:rsidRPr="00776B8C" w:rsidRDefault="00776B8C" w:rsidP="00776B8C"/>
    <w:p w:rsidR="00776B8C" w:rsidRPr="00776B8C" w:rsidRDefault="00776B8C" w:rsidP="00776B8C"/>
    <w:p w:rsidR="00776B8C" w:rsidRPr="00776B8C" w:rsidRDefault="00776B8C" w:rsidP="00776B8C"/>
    <w:p w:rsidR="00776B8C" w:rsidRPr="00776B8C" w:rsidRDefault="00776B8C" w:rsidP="00776B8C"/>
    <w:p w:rsidR="00776B8C" w:rsidRPr="00776B8C" w:rsidRDefault="00776B8C" w:rsidP="00776B8C"/>
    <w:p w:rsidR="00776B8C" w:rsidRPr="00776B8C" w:rsidRDefault="00776B8C" w:rsidP="00776B8C"/>
    <w:p w:rsidR="00776B8C" w:rsidRPr="00776B8C" w:rsidRDefault="00776B8C" w:rsidP="00776B8C"/>
    <w:p w:rsidR="00776B8C" w:rsidRPr="00776B8C" w:rsidRDefault="00776B8C" w:rsidP="00776B8C"/>
    <w:p w:rsidR="00776B8C" w:rsidRPr="00776B8C" w:rsidRDefault="00776B8C" w:rsidP="00776B8C"/>
    <w:p w:rsidR="00776B8C" w:rsidRDefault="00776B8C" w:rsidP="00776B8C"/>
    <w:p w:rsidR="00592E2F" w:rsidRPr="00776B8C" w:rsidRDefault="00592E2F" w:rsidP="00776B8C">
      <w:pPr>
        <w:jc w:val="right"/>
      </w:pPr>
    </w:p>
    <w:sectPr w:rsidR="00592E2F" w:rsidRPr="00776B8C" w:rsidSect="00CA320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2AE" w:rsidRDefault="00AE12AE" w:rsidP="00592E2F">
      <w:pPr>
        <w:spacing w:after="0" w:line="240" w:lineRule="auto"/>
      </w:pPr>
      <w:r>
        <w:separator/>
      </w:r>
    </w:p>
  </w:endnote>
  <w:endnote w:type="continuationSeparator" w:id="0">
    <w:p w:rsidR="00AE12AE" w:rsidRDefault="00AE12AE" w:rsidP="0059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2AE" w:rsidRDefault="00AE12AE">
    <w:pPr>
      <w:pStyle w:val="Footer"/>
    </w:pPr>
    <w:r>
      <w:t xml:space="preserve">Revised </w:t>
    </w:r>
    <w:r w:rsidR="00776B8C">
      <w:t>January</w:t>
    </w:r>
    <w:r>
      <w:t xml:space="preserve"> </w:t>
    </w:r>
    <w:r w:rsidR="00776B8C">
      <w:t>2020</w:t>
    </w:r>
  </w:p>
  <w:p w:rsidR="00AE12AE" w:rsidRDefault="00AE1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2AE" w:rsidRDefault="00AE12AE" w:rsidP="00592E2F">
      <w:pPr>
        <w:spacing w:after="0" w:line="240" w:lineRule="auto"/>
      </w:pPr>
      <w:r>
        <w:separator/>
      </w:r>
    </w:p>
  </w:footnote>
  <w:footnote w:type="continuationSeparator" w:id="0">
    <w:p w:rsidR="00AE12AE" w:rsidRDefault="00AE12AE" w:rsidP="00592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511B"/>
    <w:multiLevelType w:val="multilevel"/>
    <w:tmpl w:val="8C6225D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CD289F"/>
    <w:multiLevelType w:val="multilevel"/>
    <w:tmpl w:val="8C6225D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353588B"/>
    <w:multiLevelType w:val="multilevel"/>
    <w:tmpl w:val="C4C8A5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117DF"/>
    <w:multiLevelType w:val="multilevel"/>
    <w:tmpl w:val="8C6225D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3697699"/>
    <w:multiLevelType w:val="multilevel"/>
    <w:tmpl w:val="8C6225D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CA2FF5"/>
    <w:multiLevelType w:val="multilevel"/>
    <w:tmpl w:val="8C6225D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6E45F01"/>
    <w:multiLevelType w:val="multilevel"/>
    <w:tmpl w:val="8C6225D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94062A9"/>
    <w:multiLevelType w:val="multilevel"/>
    <w:tmpl w:val="8C6225D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ACE1109"/>
    <w:multiLevelType w:val="multilevel"/>
    <w:tmpl w:val="8C6225D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44C25C9"/>
    <w:multiLevelType w:val="multilevel"/>
    <w:tmpl w:val="8C6225D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56C6093"/>
    <w:multiLevelType w:val="multilevel"/>
    <w:tmpl w:val="8C6225D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7CF60B0"/>
    <w:multiLevelType w:val="multilevel"/>
    <w:tmpl w:val="8C6225D8"/>
    <w:lvl w:ilvl="0">
      <w:start w:val="1"/>
      <w:numFmt w:val="decimal"/>
      <w:lvlText w:val="%1."/>
      <w:lvlJc w:val="left"/>
      <w:pPr>
        <w:ind w:left="1440" w:hanging="360"/>
      </w:pPr>
      <w:rPr>
        <w:rFonts w:hint="default"/>
      </w:rPr>
    </w:lvl>
    <w:lvl w:ilvl="1">
      <w:start w:val="1"/>
      <w:numFmt w:val="bullet"/>
      <w:lvlText w:val=""/>
      <w:lvlJc w:val="left"/>
      <w:pPr>
        <w:ind w:left="1800" w:hanging="72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2" w15:restartNumberingAfterBreak="0">
    <w:nsid w:val="63EE7C16"/>
    <w:multiLevelType w:val="multilevel"/>
    <w:tmpl w:val="93525CFA"/>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3FE4085"/>
    <w:multiLevelType w:val="multilevel"/>
    <w:tmpl w:val="8C6225D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57A4E87"/>
    <w:multiLevelType w:val="multilevel"/>
    <w:tmpl w:val="93525CFA"/>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C723B2"/>
    <w:multiLevelType w:val="multilevel"/>
    <w:tmpl w:val="29F611BE"/>
    <w:lvl w:ilvl="0">
      <w:start w:val="1"/>
      <w:numFmt w:val="bullet"/>
      <w:lvlText w:val=""/>
      <w:lvlJc w:val="left"/>
      <w:pPr>
        <w:ind w:left="1440" w:hanging="360"/>
      </w:pPr>
      <w:rPr>
        <w:rFonts w:ascii="Symbol" w:hAnsi="Symbol" w:hint="default"/>
      </w:rPr>
    </w:lvl>
    <w:lvl w:ilvl="1">
      <w:start w:val="1"/>
      <w:numFmt w:val="bullet"/>
      <w:lvlText w:val=""/>
      <w:lvlJc w:val="left"/>
      <w:pPr>
        <w:ind w:left="1800" w:hanging="72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15:restartNumberingAfterBreak="0">
    <w:nsid w:val="67835321"/>
    <w:multiLevelType w:val="hybridMultilevel"/>
    <w:tmpl w:val="B15E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D3D01"/>
    <w:multiLevelType w:val="multilevel"/>
    <w:tmpl w:val="8C6225D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6"/>
  </w:num>
  <w:num w:numId="3">
    <w:abstractNumId w:val="14"/>
  </w:num>
  <w:num w:numId="4">
    <w:abstractNumId w:val="12"/>
  </w:num>
  <w:num w:numId="5">
    <w:abstractNumId w:val="15"/>
  </w:num>
  <w:num w:numId="6">
    <w:abstractNumId w:val="9"/>
  </w:num>
  <w:num w:numId="7">
    <w:abstractNumId w:val="1"/>
  </w:num>
  <w:num w:numId="8">
    <w:abstractNumId w:val="6"/>
  </w:num>
  <w:num w:numId="9">
    <w:abstractNumId w:val="4"/>
  </w:num>
  <w:num w:numId="10">
    <w:abstractNumId w:val="17"/>
  </w:num>
  <w:num w:numId="11">
    <w:abstractNumId w:val="7"/>
  </w:num>
  <w:num w:numId="12">
    <w:abstractNumId w:val="0"/>
  </w:num>
  <w:num w:numId="13">
    <w:abstractNumId w:val="5"/>
  </w:num>
  <w:num w:numId="14">
    <w:abstractNumId w:val="3"/>
  </w:num>
  <w:num w:numId="15">
    <w:abstractNumId w:val="10"/>
  </w:num>
  <w:num w:numId="16">
    <w:abstractNumId w:val="8"/>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A5"/>
    <w:rsid w:val="00042499"/>
    <w:rsid w:val="00121EE5"/>
    <w:rsid w:val="001257AE"/>
    <w:rsid w:val="002C7AD6"/>
    <w:rsid w:val="00451A63"/>
    <w:rsid w:val="00477DA5"/>
    <w:rsid w:val="00592E2F"/>
    <w:rsid w:val="0068379C"/>
    <w:rsid w:val="006C00D8"/>
    <w:rsid w:val="007000EB"/>
    <w:rsid w:val="00776B8C"/>
    <w:rsid w:val="007803FC"/>
    <w:rsid w:val="00831966"/>
    <w:rsid w:val="00891C26"/>
    <w:rsid w:val="00AE12AE"/>
    <w:rsid w:val="00B36E4C"/>
    <w:rsid w:val="00B6361E"/>
    <w:rsid w:val="00BD64AB"/>
    <w:rsid w:val="00CA320A"/>
    <w:rsid w:val="00E85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FE452-EC8D-43E7-BFAB-6D00CFC5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DA5"/>
    <w:rPr>
      <w:rFonts w:ascii="Tahoma" w:hAnsi="Tahoma" w:cs="Tahoma"/>
      <w:sz w:val="16"/>
      <w:szCs w:val="16"/>
    </w:rPr>
  </w:style>
  <w:style w:type="paragraph" w:styleId="ListParagraph">
    <w:name w:val="List Paragraph"/>
    <w:basedOn w:val="Normal"/>
    <w:uiPriority w:val="34"/>
    <w:qFormat/>
    <w:rsid w:val="00477DA5"/>
    <w:pPr>
      <w:ind w:left="720"/>
      <w:contextualSpacing/>
    </w:pPr>
  </w:style>
  <w:style w:type="paragraph" w:styleId="NormalWeb">
    <w:name w:val="Normal (Web)"/>
    <w:basedOn w:val="Normal"/>
    <w:rsid w:val="001257AE"/>
    <w:pPr>
      <w:widowControl w:val="0"/>
      <w:adjustRightInd w:val="0"/>
      <w:spacing w:before="100" w:beforeAutospacing="1" w:after="100" w:afterAutospacing="1" w:line="360" w:lineRule="atLeast"/>
      <w:jc w:val="both"/>
      <w:textAlignment w:val="baseline"/>
    </w:pPr>
    <w:rPr>
      <w:rFonts w:ascii="Arial" w:eastAsia="Times New Roman" w:hAnsi="Arial" w:cs="Times New Roman"/>
      <w:sz w:val="24"/>
      <w:szCs w:val="24"/>
    </w:rPr>
  </w:style>
  <w:style w:type="paragraph" w:customStyle="1" w:styleId="Default">
    <w:name w:val="Default"/>
    <w:rsid w:val="0083196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92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E2F"/>
  </w:style>
  <w:style w:type="paragraph" w:styleId="Footer">
    <w:name w:val="footer"/>
    <w:basedOn w:val="Normal"/>
    <w:link w:val="FooterChar"/>
    <w:uiPriority w:val="99"/>
    <w:unhideWhenUsed/>
    <w:rsid w:val="00592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Bournemouth &amp; Poole College</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bpc</dc:creator>
  <cp:lastModifiedBy>Marianne Barnard</cp:lastModifiedBy>
  <cp:revision>3</cp:revision>
  <cp:lastPrinted>2011-11-15T13:11:00Z</cp:lastPrinted>
  <dcterms:created xsi:type="dcterms:W3CDTF">2020-03-10T13:21:00Z</dcterms:created>
  <dcterms:modified xsi:type="dcterms:W3CDTF">2020-03-10T13:26:00Z</dcterms:modified>
</cp:coreProperties>
</file>